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numPr>
          <w:ilvl w:val="0"/>
          <w:numId w:val="0"/>
        </w:numPr>
        <w:jc w:val="left"/>
        <w:pageBreakBefore w:val="0"/>
        <w:spacing w:before="360" w:after="360"/>
        <w:outlineLvl w:val="0"/>
      </w:pPr>
      <w:r>
        <w:t xml:space="preserve">Сведения о цепочке собственников, включая бенефициаров (в том числе конечных) *</w:t>
      </w:r>
      <w:r/>
    </w:p>
    <w:tbl>
      <w:tblPr>
        <w:tblStyle w:val="949"/>
        <w:tblW w:w="15129" w:type="dxa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936"/>
        <w:gridCol w:w="1959"/>
        <w:gridCol w:w="1988"/>
        <w:gridCol w:w="2108"/>
        <w:gridCol w:w="34"/>
        <w:gridCol w:w="1928"/>
        <w:gridCol w:w="4"/>
        <w:gridCol w:w="2156"/>
        <w:gridCol w:w="18"/>
        <w:gridCol w:w="1994"/>
        <w:gridCol w:w="200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930"/>
              <w:jc w:val="center"/>
              <w:keepLines w:val="0"/>
              <w:keepNext/>
              <w:spacing w:before="60" w:after="60"/>
              <w:widowControl/>
              <w:rPr>
                <w:b w:val="0"/>
                <w:bCs/>
                <w:sz w:val="20"/>
                <w:szCs w:val="20"/>
              </w:rPr>
            </w:pPr>
            <w:r>
              <w:rPr>
                <w:rFonts w:eastAsia="Calibri"/>
                <w:b w:val="0"/>
                <w:bCs/>
                <w:sz w:val="20"/>
                <w:szCs w:val="20"/>
                <w:lang w:val="ru-RU" w:eastAsia="en-US" w:bidi="ar-SA"/>
              </w:rPr>
            </w:r>
            <w:r>
              <w:rPr>
                <w:b w:val="0"/>
                <w:bCs/>
                <w:sz w:val="20"/>
                <w:szCs w:val="20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  <w:tc>
          <w:tcPr>
            <w:gridSpan w:val="9"/>
            <w:tcW w:w="12189" w:type="dxa"/>
            <w:textDirection w:val="lrTb"/>
            <w:noWrap w:val="false"/>
          </w:tcPr>
          <w:p>
            <w:pPr>
              <w:pStyle w:val="930"/>
              <w:jc w:val="center"/>
              <w:keepLines w:val="0"/>
              <w:keepNext/>
              <w:spacing w:before="60" w:after="60"/>
              <w:widowControl/>
              <w:rPr>
                <w:b w:val="0"/>
                <w:bCs/>
                <w:sz w:val="20"/>
                <w:szCs w:val="20"/>
              </w:rPr>
            </w:pPr>
            <w:r>
              <w:rPr>
                <w:rFonts w:eastAsia="Calibri"/>
                <w:b w:val="0"/>
                <w:bCs/>
                <w:sz w:val="20"/>
                <w:szCs w:val="20"/>
                <w:lang w:val="ru-RU" w:eastAsia="en-US" w:bidi="ar-SA"/>
              </w:rPr>
              <w:t xml:space="preserve">Наименование контрагента (ИНН, вид деятельности)</w:t>
            </w:r>
            <w:r>
              <w:rPr>
                <w:b w:val="0"/>
                <w:bCs/>
                <w:sz w:val="20"/>
                <w:szCs w:val="20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930"/>
              <w:jc w:val="center"/>
              <w:keepLines w:val="0"/>
              <w:keepNext/>
              <w:spacing w:before="60" w:after="60"/>
              <w:widowControl/>
              <w:rPr>
                <w:b w:val="0"/>
                <w:bCs/>
                <w:sz w:val="20"/>
                <w:szCs w:val="20"/>
              </w:rPr>
            </w:pPr>
            <w:r>
              <w:rPr>
                <w:rFonts w:eastAsia="Calibri"/>
                <w:b w:val="0"/>
                <w:bCs/>
                <w:sz w:val="20"/>
                <w:szCs w:val="20"/>
                <w:lang w:val="ru-RU" w:eastAsia="en-US" w:bidi="ar-SA"/>
              </w:rPr>
            </w:r>
            <w:r>
              <w:rPr>
                <w:b w:val="0"/>
                <w:bCs/>
                <w:sz w:val="20"/>
                <w:szCs w:val="20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ОГРН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08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Наименование краткое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966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Код ОКВЭД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Фамилия, Имя, Отчество руководителя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12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Серия и номер документа, удостоверяющего личность руководителя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7734567890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1044567890123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108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ООО "Ромашка"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196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45.xx.xx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Иванов Иван Степанович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012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серия 5003 №143877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59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88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2108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left w:val="none" w:color="000000" w:sz="4" w:space="0"/>
              <w:right w:val="none" w:color="000000" w:sz="4" w:space="0"/>
            </w:tcBorders>
            <w:tcW w:w="196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left w:val="none" w:color="000000" w:sz="4" w:space="0"/>
              <w:right w:val="none" w:color="000000" w:sz="4" w:space="0"/>
            </w:tcBorders>
            <w:tcW w:w="2012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10"/>
            <w:tcW w:w="13125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Информация о цепочке собственников контрагента, включая бенефициаров (в том числе, конечных) **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02" w:type="dxa"/>
            <w:vMerge w:val="restart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Информация о подтверждающих документах (наименование, реквизиты и т.д.)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№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ОГРН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Наименование / ФИО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Адрес регистрации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Серия и номер документа, удостоверяющего личность (для физического лица)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Руководитель / участник / акционер / бенефициар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02" w:type="dxa"/>
            <w:vMerge w:val="continue"/>
            <w:textDirection w:val="lrTb"/>
            <w:noWrap w:val="false"/>
          </w:tcPr>
          <w:p>
            <w:pPr>
              <w:pStyle w:val="930"/>
              <w:jc w:val="left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7754467990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108 323 232 323 232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ЗАО "Свет 1"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Москва, ул. Лубянка, 3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 учреждении от 23.01.2008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1.1.0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111222333444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Петрова Анна Ивановна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Москва, ул. Щепкина, 33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44 55 666777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устав, приказ №45-л/с от 22.03.10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333222444555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Сидоров Пётр Иванович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Ленина, 45-34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55 66 777888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12.03.2004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1.1.2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6277777777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104 567 567 567 436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ООО "Черепашка"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Ленина, 45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12.03.2004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1.1.2.0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74956728576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Мухов Амир Мазиевич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Ленина, 45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66 78 455434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устав, приказ №77-л/с от 22.05.11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1.1.2.1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84623895734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Мазаева Инна Львовна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К.Маркса, 5-34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67 03 000444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Бенефициар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12.03.2004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7754456890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107 656 565 656 565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ООО "Свет 2"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Титова, 34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23.01.2008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1.2.0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6665557444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Антонов Иван Игоревич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Титова, 34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66 55 444333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устав, приказ №56-л/с от 22.05.09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8887776655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Ивлев Дмитрий Степанович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Чапаева, 34-72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77 55 333444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23.01.2006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1.2.2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33388844455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Степанов Игорь Дмитриевич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Гагарина, 2-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66 77 223344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23.01.2006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1.3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ASU66-54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Игуана лтд (Iguana LTD)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США, штат Виржиния, 533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23.01.2008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Ruan Max Amer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Кипр, Лимассол, 24-75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776AE 6654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1.4</w:t>
            </w:r>
            <w:r>
              <w:rPr>
                <w:i/>
                <w:iCs/>
                <w:sz w:val="20"/>
                <w:szCs w:val="20"/>
                <w:lang w:val="en-US"/>
              </w:rPr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12345678902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Иванов Иван Иванович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Тула, ул. Пионеров, 56-89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11 22 334455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23.01.2008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59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4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959" w:type="dxa"/>
            <w:vAlign w:val="bottom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2142" w:type="dxa"/>
            <w:vAlign w:val="bottom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подпись</w:t>
            </w:r>
            <w:r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, МП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59" w:type="dxa"/>
            <w:vAlign w:val="bottom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left w:val="none" w:color="000000" w:sz="4" w:space="0"/>
              <w:right w:val="none" w:color="000000" w:sz="4" w:space="0"/>
            </w:tcBorders>
            <w:tcW w:w="2142" w:type="dxa"/>
            <w:vAlign w:val="bottom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8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4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ФИО подписавшего, должность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930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30"/>
        <w:spacing w:before="360" w:after="0"/>
        <w:tabs>
          <w:tab w:val="left" w:pos="567" w:leader="none"/>
          <w:tab w:val="clear" w:pos="708" w:leader="none"/>
        </w:tabs>
      </w:pPr>
      <w:r>
        <w:t xml:space="preserve">*</w:t>
        <w:tab/>
        <w:t xml:space="preserve">Приведенные в таблице сведения об юридических и физических лицах являются условными и указаны в качестве примера заполнения формы.</w:t>
      </w:r>
      <w:r/>
    </w:p>
    <w:p>
      <w:pPr>
        <w:pStyle w:val="930"/>
        <w:tabs>
          <w:tab w:val="left" w:pos="567" w:leader="none"/>
          <w:tab w:val="clear" w:pos="708" w:leader="none"/>
        </w:tabs>
      </w:pPr>
      <w:r>
        <w:t xml:space="preserve">**</w:t>
        <w:tab/>
        <w:t xml:space="preserve">1. 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</w:t>
      </w:r>
      <w:r>
        <w:t xml:space="preserve">ждающие документы предоставляются в отношении собственников, владеющих более 5% (процентами) уставного капитала. Допускается указание прямой ссылки на общедоступный источник, посредством которого в установленном порядке раскрыта соответствующая информация.</w:t>
      </w:r>
      <w:r/>
    </w:p>
    <w:p>
      <w:pPr>
        <w:pStyle w:val="930"/>
        <w:tabs>
          <w:tab w:val="left" w:pos="567" w:leader="none"/>
          <w:tab w:val="clear" w:pos="708" w:leader="none"/>
        </w:tabs>
        <w:sectPr>
          <w:footerReference w:type="default" r:id="rId9"/>
          <w:footnotePr/>
          <w:endnotePr/>
          <w:type w:val="nextPage"/>
          <w:pgSz w:w="16838" w:h="11906" w:orient="landscape"/>
          <w:pgMar w:top="709" w:right="851" w:bottom="850" w:left="851" w:header="0" w:footer="567" w:gutter="0"/>
          <w:cols w:num="1" w:sep="0" w:space="1701" w:equalWidth="1"/>
          <w:docGrid w:linePitch="360"/>
        </w:sectPr>
      </w:pPr>
      <w:r>
        <w:tab/>
        <w:t xml:space="preserve">2. В отношении контрагентов, являющихся публичными акционерными обществами, акции ко</w:t>
      </w:r>
      <w:r>
        <w:t xml:space="preserve">торых котируются на биржах, либо обществами с числом акционеров более 50, информация и подтверждающие документы предоставляются в отношении бенефициаров (в том числе конечных) и акционерах, владеющих более 5% (процентами) акций. Допускается указание прямой</w:t>
      </w:r>
      <w:r>
        <w:t xml:space="preserve"> ссылки на 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5% (процентов), допускается указание общей информации о количестве таких акционеров.</w:t>
      </w:r>
      <w:r>
        <w:br w:type="page" w:clear="all"/>
      </w:r>
      <w:r/>
    </w:p>
    <w:p>
      <w:pPr>
        <w:pStyle w:val="930"/>
        <w:ind w:left="4536"/>
        <w:jc w:val="left"/>
        <w:keepNext/>
      </w:pPr>
      <w:r>
        <w:t xml:space="preserve">Приложение 1</w:t>
        <w:br/>
        <w:t xml:space="preserve">к Справке о цепочке собственников,</w:t>
        <w:br/>
        <w:t xml:space="preserve">включая бенефициаров (в том числе конечных)</w:t>
      </w:r>
      <w:r/>
    </w:p>
    <w:p>
      <w:pPr>
        <w:pStyle w:val="930"/>
        <w:numPr>
          <w:ilvl w:val="0"/>
          <w:numId w:val="0"/>
        </w:numPr>
        <w:jc w:val="center"/>
        <w:keepNext/>
        <w:spacing w:before="360" w:after="240"/>
        <w:rPr>
          <w:b/>
          <w:bCs/>
        </w:rPr>
        <w:outlineLvl w:val="1"/>
      </w:pPr>
      <w:r>
        <w:rPr>
          <w:b/>
          <w:bCs/>
        </w:rPr>
        <w:t xml:space="preserve">Перечень подтверждающих документов</w:t>
      </w:r>
      <w:r>
        <w:rPr>
          <w:b/>
          <w:bCs/>
        </w:rPr>
      </w:r>
      <w:r>
        <w:rPr>
          <w:b/>
          <w:bCs/>
        </w:rPr>
      </w:r>
    </w:p>
    <w:p>
      <w:pPr>
        <w:pStyle w:val="930"/>
        <w:numPr>
          <w:ilvl w:val="0"/>
          <w:numId w:val="2"/>
        </w:numPr>
        <w:ind w:left="567" w:hanging="567"/>
      </w:pPr>
      <w:r>
        <w:t xml:space="preserve">Для всех юридических лиц, созданных и действующих в соответствии с законодательством Российской Федерации, нотариально заверенные копии / оригинал / электронные выписки с усиленной ЭЦП следующих документов: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выписка из ЕГРЮЛ / ЕГРИП, выданная не ранее 1 (одного) месяца до даты предоставления документов о цепочке собственников, включая бенефициаров (в том числе конечных), в форме электронного документа, подписан</w:t>
      </w:r>
      <w:r>
        <w:t xml:space="preserve">ного квалифицированной электронной подписью, либо копия выписки из ЕГРЮЛ / ЕГРИП, подписанная собственноручной подписью должностного лица налогового органа и заверенная печатью налогового органа, либо копия выписки из ЕГРЮЛ / ЕГРИП, заверенная нотариально;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корпоративный договор либо иное согл</w:t>
      </w:r>
      <w:r>
        <w:t xml:space="preserve">ашение,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лицу, либо документ, подтверждающий отсутствие данных договоров (соглашений).</w:t>
      </w:r>
      <w:r/>
    </w:p>
    <w:p>
      <w:pPr>
        <w:pStyle w:val="930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акционерных обществ</w:t>
      </w:r>
      <w:r>
        <w:rPr>
          <w:rStyle w:val="908"/>
        </w:rPr>
        <w:footnoteReference w:id="2"/>
      </w:r>
      <w:r>
        <w:t xml:space="preserve">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выписка из реестра акционеров на дату не ранее 1 (одного) месяца до даты окончания подачи заявок на участие в закупке / согласования Договора;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список аффилированных лиц на последнюю отчетную дату;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ежеквартальный отчет на последнюю отчетную дату.</w:t>
      </w:r>
      <w:r/>
    </w:p>
    <w:p>
      <w:pPr>
        <w:pStyle w:val="930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обществ с ограниченной ответственностью: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учредительный договор / договор об учреждении (создании) / решение единственного учредителя о создании;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решение (протокол) о приеме новых участников (при наличии);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устав и изменения к нему.</w:t>
      </w:r>
      <w:r/>
    </w:p>
    <w:p>
      <w:pPr>
        <w:pStyle w:val="930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общественных или религиозных организаций (объединений):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учредительный договор или положение; 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решение о создании;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устав и изменения к нему.</w:t>
      </w:r>
      <w:r/>
    </w:p>
    <w:p>
      <w:pPr>
        <w:pStyle w:val="930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фонда: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документ о выборе (назначении) попечительского совета фонда;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решение о создании;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устав и изменения к нему.</w:t>
      </w:r>
      <w:r/>
    </w:p>
    <w:p>
      <w:pPr>
        <w:pStyle w:val="930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некоммерческого партнерства: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решение и договор о создании.</w:t>
      </w:r>
      <w:r/>
    </w:p>
    <w:p>
      <w:pPr>
        <w:pStyle w:val="930"/>
        <w:numPr>
          <w:ilvl w:val="0"/>
          <w:numId w:val="2"/>
        </w:numPr>
        <w:ind w:left="567" w:hanging="567"/>
      </w:pPr>
      <w:r>
        <w:t xml:space="preserve">Для иных организационно-правовых форм юридических лиц – документы, предусмотренные действующим законодательством Российской Федерации, устанавлив</w:t>
      </w:r>
      <w:r>
        <w:t xml:space="preserve">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r/>
    </w:p>
    <w:p>
      <w:pPr>
        <w:pStyle w:val="930"/>
        <w:numPr>
          <w:ilvl w:val="0"/>
          <w:numId w:val="2"/>
        </w:numPr>
        <w:ind w:left="567" w:hanging="567"/>
        <w:keepNext/>
      </w:pPr>
      <w:r>
        <w:t xml:space="preserve">Для всех организаций, созданных и действующих в соответствии с законодательством иностранных государств</w:t>
      </w:r>
      <w:r>
        <w:rPr>
          <w:rStyle w:val="908"/>
        </w:rPr>
        <w:footnoteReference w:id="3"/>
      </w:r>
      <w:r>
        <w:t xml:space="preserve">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выписка из торгового реестра страны инкорпорации;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</w:t>
      </w:r>
      <w:r>
        <w:t xml:space="preserve">нии устава уполномочены принимать решения в процессе управления организацией без доверенности (предусмотренные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лица).</w:t>
      </w:r>
      <w:r/>
    </w:p>
    <w:p>
      <w:pPr>
        <w:pStyle w:val="930"/>
        <w:ind w:left="567"/>
      </w:pPr>
      <w:r>
        <w:t xml:space="preserve">Документы предоставляются в виде оригинала на иностранном языке и в виде нотариально заверенного перевода на русский язык.</w:t>
      </w:r>
      <w:r/>
    </w:p>
    <w:p>
      <w:pPr>
        <w:pStyle w:val="930"/>
        <w:numPr>
          <w:ilvl w:val="0"/>
          <w:numId w:val="2"/>
        </w:numPr>
        <w:ind w:left="567" w:hanging="567"/>
      </w:pPr>
      <w:r>
        <w:t xml:space="preserve"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документы, служащие основанием прав таких лиц;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доверенности.</w:t>
      </w:r>
      <w:r/>
    </w:p>
    <w:p>
      <w:pPr>
        <w:pStyle w:val="930"/>
        <w:ind w:left="567"/>
      </w:pPr>
      <w:r>
        <w:t xml:space="preserve">Документы предоставляются в виде оригинала на иностранном языке и в виде нотариально заверенного перевода на русский язык.</w:t>
      </w:r>
      <w:r/>
    </w:p>
    <w:p>
      <w:pPr>
        <w:pStyle w:val="930"/>
        <w:numPr>
          <w:ilvl w:val="0"/>
          <w:numId w:val="2"/>
        </w:numPr>
        <w:ind w:left="567" w:hanging="567"/>
        <w:keepNext/>
      </w:pPr>
      <w:r>
        <w:t xml:space="preserve">Для всех физических лиц, являющихся налоговыми резидентами Российской Федерации, чьи персональные данные раскрываются в цепочке собственников:</w:t>
      </w:r>
      <w:r/>
    </w:p>
    <w:p>
      <w:pPr>
        <w:pStyle w:val="930"/>
        <w:numPr>
          <w:ilvl w:val="0"/>
          <w:numId w:val="3"/>
        </w:numPr>
        <w:ind w:left="1134" w:hanging="567"/>
      </w:pPr>
      <w:r>
        <w:t xml:space="preserve">оригинал Согласия на обработку и передачу персональных и иных охраняемых законом данных по форме Приложения 2 к Справке о цепочке собственников, включая бенефициаров (в том числе конечных), подписанный субъектом персональных данных.</w:t>
      </w:r>
      <w:r>
        <w:br w:type="page" w:clear="all"/>
      </w:r>
      <w:r/>
    </w:p>
    <w:p>
      <w:pPr>
        <w:pStyle w:val="930"/>
        <w:ind w:left="4536"/>
        <w:jc w:val="left"/>
        <w:keepNext/>
      </w:pPr>
      <w:r>
        <w:t xml:space="preserve">Приложение 2</w:t>
        <w:br/>
        <w:t xml:space="preserve">к Справке о цепочке собственников,</w:t>
        <w:br/>
        <w:t xml:space="preserve">включая бенефициаров (в том числе конечных)</w:t>
      </w:r>
      <w:r/>
    </w:p>
    <w:p>
      <w:pPr>
        <w:pStyle w:val="930"/>
        <w:numPr>
          <w:ilvl w:val="0"/>
          <w:numId w:val="0"/>
        </w:numPr>
        <w:jc w:val="center"/>
        <w:keepNext/>
        <w:spacing w:before="360" w:after="240"/>
        <w:rPr>
          <w:b/>
          <w:bCs/>
        </w:rPr>
        <w:outlineLvl w:val="1"/>
      </w:pPr>
      <w:r>
        <w:rPr>
          <w:b/>
          <w:bCs/>
        </w:rPr>
        <w:t xml:space="preserve">Согласие на обработку и передачу</w:t>
        <w:br/>
        <w:t xml:space="preserve">персональных и иных охраняемых законом данных</w:t>
      </w:r>
      <w:r>
        <w:rPr>
          <w:b/>
          <w:bCs/>
        </w:rPr>
      </w:r>
      <w:r>
        <w:rPr>
          <w:b/>
          <w:bCs/>
        </w:rPr>
      </w:r>
    </w:p>
    <w:tbl>
      <w:tblPr>
        <w:tblStyle w:val="949"/>
        <w:tblW w:w="9922" w:type="dxa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907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0"/>
              <w:jc w:val="right"/>
              <w:keepLines w:val="0"/>
              <w:keepNext/>
              <w:spacing w:before="60" w:after="60"/>
              <w:widowControl/>
              <w:rPr>
                <w:b w:val="0"/>
                <w:bCs/>
              </w:rPr>
            </w:pPr>
            <w:r>
              <w:rPr>
                <w:rFonts w:eastAsia="Calibri"/>
                <w:b w:val="0"/>
                <w:bCs/>
                <w:sz w:val="26"/>
                <w:szCs w:val="22"/>
                <w:lang w:val="ru-RU" w:eastAsia="en-US" w:bidi="ar-SA"/>
              </w:rPr>
              <w:t xml:space="preserve">Я,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930"/>
              <w:keepLines w:val="0"/>
              <w:keepNext/>
              <w:spacing w:before="60" w:after="60"/>
              <w:widowControl/>
              <w:rPr>
                <w:b w:val="0"/>
                <w:bCs/>
              </w:rPr>
            </w:pPr>
            <w:r>
              <w:rPr>
                <w:rFonts w:eastAsia="Calibri"/>
                <w:b w:val="0"/>
                <w:bCs/>
                <w:sz w:val="26"/>
                <w:szCs w:val="22"/>
                <w:lang w:val="ru-RU" w:eastAsia="en-US" w:bidi="ar-SA"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(полностью фамилия, имя, отчество)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(дата, месяц, год и место рождения)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(идентификационный номер налогоплательщика (ИНН))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(основной документ, удостоверяющий личность, с указанием серии, номера, даты выдачи,</w:t>
              <w:br/>
              <w:t xml:space="preserve">выдавшего органа, кода подразделения)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(зарегистрированный по адресу)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930"/>
        <w:tabs>
          <w:tab w:val="left" w:pos="567" w:leader="none"/>
          <w:tab w:val="clear" w:pos="708" w:leader="none"/>
        </w:tabs>
      </w:pPr>
      <w:r>
        <w:tab/>
        <w:t xml:space="preserve">в соответствии с законодательством Российской Федерации, в </w:t>
      </w:r>
      <w:r>
        <w:t xml:space="preserve">том числе Федеральным законом от 27.07.2006 № 152-ФЗ «О персональных данных», даю согласие на обработку и передачу Заказчиком ____________________ (сокращенное наименование: ____________________, место нахождения: ____________________, ИНН: ____________ – </w:t>
      </w:r>
      <w:r>
        <w:rPr>
          <w:rStyle w:val="905"/>
        </w:rPr>
        <w:t xml:space="preserve">[Победитель должен указать реквизиты Заказчика в соответствии с Документацией о закупке]</w:t>
      </w:r>
      <w:r>
        <w:t xml:space="preserve"> (информация о Заказчике требуе</w:t>
      </w:r>
      <w:r>
        <w:t xml:space="preserve">тся только при проведении закупки для нужд ДО ПАО «РусГидро»; при проведении закупки для нужд Исполнительного аппарата и филиала ПАО «РусГидро» дополнительная информация о Заказчике не включается), Акционерным обществом «РусГидро Снабжение» (сокращенное на</w:t>
      </w:r>
      <w:r>
        <w:t xml:space="preserve">именование: АО «РГС», место нахождения: 117393, г. Москва, ул. Архитектора Власова, дом 51, эт. 1, пом. 1, ком. 30, ИНН: 1510012774), Публичным акционерным обществом «Федеральная гидрогенерирующая компания – РусГидро» (сокращенное наименование: ПАО «РусГид</w:t>
      </w:r>
      <w:r>
        <w:t xml:space="preserve">ро», место нахождения: 660017, Красноярский край, город Красноярск, улица Дубровинского, дом 43, строение 1, ИНН: 2460066195) в Министерство энергетики Российской Федерации (адрес: 107996, город Москва, ГСП-6, улица Щепкина, дом 42) следующих своих данных:</w:t>
      </w:r>
      <w:r/>
    </w:p>
    <w:p>
      <w:pPr>
        <w:pStyle w:val="930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r/>
    </w:p>
    <w:p>
      <w:pPr>
        <w:pStyle w:val="930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иных охраняемых законом данных: ____________________ </w:t>
      </w:r>
      <w:r>
        <w:rPr>
          <w:rStyle w:val="905"/>
        </w:rPr>
        <w:t xml:space="preserve">[указать каких]</w:t>
      </w:r>
      <w:r>
        <w:t xml:space="preserve">.</w:t>
      </w:r>
      <w:r/>
    </w:p>
    <w:p>
      <w:pPr>
        <w:pStyle w:val="930"/>
        <w:keepNext/>
        <w:tabs>
          <w:tab w:val="left" w:pos="567" w:leader="none"/>
          <w:tab w:val="clear" w:pos="708" w:leader="none"/>
        </w:tabs>
      </w:pPr>
      <w:r>
        <w:tab/>
        <w:t xml:space="preserve">На сведения о персональных и иных охраняемых законом данных, поступивших в Министерство энергетики Российской Федерации, распространяются:</w:t>
      </w:r>
      <w:r/>
    </w:p>
    <w:p>
      <w:pPr>
        <w:pStyle w:val="930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запрет на разглашение указанных сведений;</w:t>
      </w:r>
      <w:r/>
    </w:p>
    <w:p>
      <w:pPr>
        <w:pStyle w:val="930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требования к специальному режиму хранения указанных сведений и доступа к ним;</w:t>
      </w:r>
      <w:r/>
    </w:p>
    <w:p>
      <w:pPr>
        <w:pStyle w:val="930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ответственность за утрату документов, содержащих указанные сведения, или за разглашение таких сведений.</w:t>
      </w:r>
      <w:r/>
    </w:p>
    <w:p>
      <w:pPr>
        <w:pStyle w:val="930"/>
        <w:tabs>
          <w:tab w:val="left" w:pos="567" w:leader="none"/>
          <w:tab w:val="clear" w:pos="708" w:leader="none"/>
        </w:tabs>
      </w:pPr>
      <w:r>
        <w:tab/>
        <w:t xml:space="preserve"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r/>
    </w:p>
    <w:p>
      <w:pPr>
        <w:pStyle w:val="930"/>
      </w:pPr>
      <w:r/>
      <w:r/>
    </w:p>
    <w:tbl>
      <w:tblPr>
        <w:tblStyle w:val="949"/>
        <w:tblW w:w="9912" w:type="dxa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2921"/>
        <w:gridCol w:w="839"/>
        <w:gridCol w:w="2408"/>
        <w:gridCol w:w="853"/>
        <w:gridCol w:w="28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21" w:type="dxa"/>
            <w:textDirection w:val="lrTb"/>
            <w:noWrap w:val="false"/>
          </w:tcPr>
          <w:p>
            <w:pPr>
              <w:pStyle w:val="930"/>
              <w:jc w:val="left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textDirection w:val="lrTb"/>
            <w:noWrap w:val="false"/>
          </w:tcPr>
          <w:p>
            <w:pPr>
              <w:pStyle w:val="930"/>
              <w:jc w:val="center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408" w:type="dxa"/>
            <w:textDirection w:val="lrTb"/>
            <w:noWrap w:val="false"/>
          </w:tcPr>
          <w:p>
            <w:pPr>
              <w:pStyle w:val="930"/>
              <w:jc w:val="center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930"/>
              <w:jc w:val="center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91" w:type="dxa"/>
            <w:textDirection w:val="lrTb"/>
            <w:noWrap w:val="false"/>
          </w:tcPr>
          <w:p>
            <w:pPr>
              <w:pStyle w:val="930"/>
              <w:jc w:val="left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21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en-US" w:eastAsia="en-US" w:bidi="ar-SA"/>
              </w:rPr>
              <w:t xml:space="preserve">(</w:t>
            </w: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дата</w:t>
            </w:r>
            <w:r>
              <w:rPr>
                <w:rFonts w:eastAsia="Calibri"/>
                <w:i/>
                <w:iCs/>
                <w:sz w:val="18"/>
                <w:szCs w:val="18"/>
                <w:lang w:val="en-US" w:eastAsia="en-US" w:bidi="ar-SA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en-US" w:eastAsia="en-US" w:bidi="ar-SA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8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91" w:type="dxa"/>
            <w:textDirection w:val="lrTb"/>
            <w:noWrap w:val="false"/>
          </w:tcPr>
          <w:p>
            <w:pPr>
              <w:pStyle w:val="930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930"/>
      </w:pPr>
      <w:r/>
      <w:r/>
    </w:p>
    <w:sectPr>
      <w:footerReference w:type="default" r:id="rId10"/>
      <w:footerReference w:type="first" r:id="rId11"/>
      <w:footnotePr>
        <w:numFmt w:val="decimal"/>
      </w:footnotePr>
      <w:endnotePr/>
      <w:type w:val="nextPage"/>
      <w:pgSz w:w="11906" w:h="16838" w:orient="portrait"/>
      <w:pgMar w:top="851" w:right="850" w:bottom="851" w:left="1134" w:header="0" w:footer="567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WenQuanYi Micro Hei">
    <w:panose1 w:val="020B0606030804020204"/>
  </w:font>
  <w:font w:name="Courier New">
    <w:panose1 w:val="02070309020205020404"/>
  </w:font>
  <w:font w:name="Lohit Devanagari">
    <w:panose1 w:val="020B0600000000000000"/>
  </w:font>
  <w:font w:name="Open Sans">
    <w:panose1 w:val="020B060603050402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933"/>
          <w:spacing w:before="120" w:after="0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933"/>
          <w:spacing w:before="120" w:after="0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sz w:val="12"/>
        </w:rPr>
      </w:pPr>
      <w:r>
        <w:separator/>
      </w:r>
      <w:r>
        <w:rPr>
          <w:sz w:val="12"/>
        </w:rPr>
      </w:r>
      <w:r>
        <w:rPr>
          <w:sz w:val="12"/>
        </w:rPr>
      </w:r>
    </w:p>
  </w:footnote>
  <w:footnote w:type="continuationSeparator" w:id="0">
    <w:p>
      <w:pPr>
        <w:rPr>
          <w:sz w:val="12"/>
        </w:rPr>
      </w:pPr>
      <w:r>
        <w:continuationSeparator/>
      </w:r>
      <w:r>
        <w:rPr>
          <w:sz w:val="12"/>
        </w:rPr>
      </w:r>
      <w:r>
        <w:rPr>
          <w:sz w:val="12"/>
        </w:rPr>
      </w:r>
    </w:p>
  </w:footnote>
  <w:footnote w:id="2">
    <w:p>
      <w:pPr>
        <w:pStyle w:val="935"/>
        <w:ind w:left="567" w:hanging="567"/>
        <w:jc w:val="both"/>
        <w:spacing w:before="80" w:after="0"/>
      </w:pPr>
      <w:r>
        <w:rPr>
          <w:rStyle w:val="907"/>
        </w:rPr>
        <w:footnoteRef/>
      </w:r>
      <w:r>
        <w:tab/>
        <w:t xml:space="preserve">Для юридических лиц, являющихся публичными акционерными обществами, акции которых котируются на биржах, либо обществами с числом </w:t>
      </w:r>
      <w:r>
        <w:t xml:space="preserve">акционеров более 50, в графе «Информация о цепочке собственников контрагента, включая бенефициаров (в том числе конечных)» допускается указание данных о бенефициарах (в том числе конечных) и акционерах, владеющих более 5 процентами акций (либо прямая ссылк</w:t>
      </w:r>
      <w:r>
        <w:t xml:space="preserve">а на общедоступный источник, посредством которого в установленном законом порядке раскрыта соответствующая информация). В отношении акционеров, владеющих пакетами акций менее 5 процентов, допускается указание общей информации о количестве таких акционеров.</w:t>
      </w:r>
      <w:r/>
    </w:p>
  </w:footnote>
  <w:footnote w:id="3">
    <w:p>
      <w:pPr>
        <w:pStyle w:val="935"/>
        <w:ind w:left="567" w:hanging="567"/>
        <w:jc w:val="both"/>
        <w:spacing w:before="80" w:after="0"/>
      </w:pPr>
      <w:r>
        <w:rPr>
          <w:rStyle w:val="907"/>
        </w:rPr>
        <w:footnoteRef/>
      </w:r>
      <w:r>
        <w:tab/>
        <w:t xml:space="preserve">Для организаций, являющихся зарубежными публичными компаниями мирового уровня,</w:t>
      </w:r>
      <w:r>
        <w:t xml:space="preserve"> занимающими лидирующие позиции в соответствующих отраслях, требования считаются исполненными при наличии информации об акционерах, владеющих более 5 процентами акций. В отношении таких компаний в графе «Информация о цепочке собственников контрагента, вклю</w:t>
      </w:r>
      <w:r>
        <w:t xml:space="preserve">чая бенефициаров (в том числе конечных)» допускается указание данных об акционерах, владеющих более 5 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24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pStyle w:val="925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pStyle w:val="92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</w:lvl>
    <w:lvl w:ilvl="3">
      <w:start w:val="1"/>
      <w:numFmt w:val="russianLower"/>
      <w:pStyle w:val="927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</w:lvl>
    <w:lvl w:ilvl="4">
      <w:start w:val="1"/>
      <w:numFmt w:val="bullet"/>
      <w:pStyle w:val="928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 w:cs="Symbol"/>
      </w:r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01"/>
    <w:next w:val="901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02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01"/>
    <w:next w:val="901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02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01"/>
    <w:next w:val="901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02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01"/>
    <w:next w:val="901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02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01"/>
    <w:next w:val="901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02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01"/>
    <w:next w:val="901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02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01"/>
    <w:next w:val="901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02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01"/>
    <w:next w:val="901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02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01"/>
    <w:next w:val="901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02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901"/>
    <w:uiPriority w:val="34"/>
    <w:qFormat/>
    <w:pPr>
      <w:contextualSpacing/>
      <w:ind w:left="720"/>
    </w:pPr>
  </w:style>
  <w:style w:type="paragraph" w:styleId="759">
    <w:name w:val="No Spacing"/>
    <w:uiPriority w:val="1"/>
    <w:qFormat/>
    <w:pPr>
      <w:spacing w:before="0" w:after="0" w:line="240" w:lineRule="auto"/>
    </w:pPr>
  </w:style>
  <w:style w:type="paragraph" w:styleId="760">
    <w:name w:val="Title"/>
    <w:basedOn w:val="901"/>
    <w:next w:val="901"/>
    <w:link w:val="7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1">
    <w:name w:val="Title Char"/>
    <w:basedOn w:val="902"/>
    <w:link w:val="760"/>
    <w:uiPriority w:val="10"/>
    <w:rPr>
      <w:sz w:val="48"/>
      <w:szCs w:val="48"/>
    </w:rPr>
  </w:style>
  <w:style w:type="paragraph" w:styleId="762">
    <w:name w:val="Subtitle"/>
    <w:basedOn w:val="901"/>
    <w:next w:val="901"/>
    <w:link w:val="763"/>
    <w:uiPriority w:val="11"/>
    <w:qFormat/>
    <w:pPr>
      <w:spacing w:before="200" w:after="200"/>
    </w:pPr>
    <w:rPr>
      <w:sz w:val="24"/>
      <w:szCs w:val="24"/>
    </w:rPr>
  </w:style>
  <w:style w:type="character" w:styleId="763">
    <w:name w:val="Subtitle Char"/>
    <w:basedOn w:val="902"/>
    <w:link w:val="762"/>
    <w:uiPriority w:val="11"/>
    <w:rPr>
      <w:sz w:val="24"/>
      <w:szCs w:val="24"/>
    </w:rPr>
  </w:style>
  <w:style w:type="paragraph" w:styleId="764">
    <w:name w:val="Quote"/>
    <w:basedOn w:val="901"/>
    <w:next w:val="901"/>
    <w:link w:val="765"/>
    <w:uiPriority w:val="29"/>
    <w:qFormat/>
    <w:pPr>
      <w:ind w:left="720" w:right="720"/>
    </w:pPr>
    <w:rPr>
      <w:i/>
    </w:rPr>
  </w:style>
  <w:style w:type="character" w:styleId="765">
    <w:name w:val="Quote Char"/>
    <w:link w:val="764"/>
    <w:uiPriority w:val="29"/>
    <w:rPr>
      <w:i/>
    </w:rPr>
  </w:style>
  <w:style w:type="paragraph" w:styleId="766">
    <w:name w:val="Intense Quote"/>
    <w:basedOn w:val="901"/>
    <w:next w:val="901"/>
    <w:link w:val="7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>
    <w:name w:val="Intense Quote Char"/>
    <w:link w:val="766"/>
    <w:uiPriority w:val="30"/>
    <w:rPr>
      <w:i/>
    </w:rPr>
  </w:style>
  <w:style w:type="character" w:styleId="768">
    <w:name w:val="Header Char"/>
    <w:basedOn w:val="902"/>
    <w:link w:val="932"/>
    <w:uiPriority w:val="99"/>
  </w:style>
  <w:style w:type="character" w:styleId="769">
    <w:name w:val="Footer Char"/>
    <w:basedOn w:val="902"/>
    <w:link w:val="933"/>
    <w:uiPriority w:val="99"/>
  </w:style>
  <w:style w:type="character" w:styleId="770">
    <w:name w:val="Caption Char"/>
    <w:basedOn w:val="922"/>
    <w:link w:val="933"/>
    <w:uiPriority w:val="99"/>
  </w:style>
  <w:style w:type="table" w:styleId="771">
    <w:name w:val="Table Grid Light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Plain Table 1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2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>
    <w:name w:val="Plain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Plain Table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9">
    <w:name w:val="Grid Table 4 - Accent 1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0">
    <w:name w:val="Grid Table 4 - Accent 2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Grid Table 4 - Accent 3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2">
    <w:name w:val="Grid Table 4 - Accent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Grid Table 4 - Accent 5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4">
    <w:name w:val="Grid Table 4 - Accent 6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5">
    <w:name w:val="Grid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2">
    <w:name w:val="Grid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3">
    <w:name w:val="Grid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4">
    <w:name w:val="Grid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5">
    <w:name w:val="Grid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6">
    <w:name w:val="Grid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7">
    <w:name w:val="Grid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4">
    <w:name w:val="List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5">
    <w:name w:val="List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6">
    <w:name w:val="List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7">
    <w:name w:val="List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8">
    <w:name w:val="List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9">
    <w:name w:val="List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0">
    <w:name w:val="List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2">
    <w:name w:val="List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3">
    <w:name w:val="List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4">
    <w:name w:val="List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5">
    <w:name w:val="List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6">
    <w:name w:val="List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7">
    <w:name w:val="List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8">
    <w:name w:val="List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9">
    <w:name w:val="List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70">
    <w:name w:val="List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1">
    <w:name w:val="List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2">
    <w:name w:val="List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3">
    <w:name w:val="List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74">
    <w:name w:val="List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5">
    <w:name w:val="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7">
    <w:name w:val="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8">
    <w:name w:val="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9">
    <w:name w:val="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0">
    <w:name w:val="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1">
    <w:name w:val="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2">
    <w:name w:val="Bordered &amp; 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3">
    <w:name w:val="Bordered &amp; 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4">
    <w:name w:val="Bordered &amp; 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5">
    <w:name w:val="Bordered &amp; 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6">
    <w:name w:val="Bordered &amp; 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7">
    <w:name w:val="Bordered &amp; 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8">
    <w:name w:val="Bordered &amp; 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9">
    <w:name w:val="Bordered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0">
    <w:name w:val="Bordered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1">
    <w:name w:val="Bordered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2">
    <w:name w:val="Bordered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3">
    <w:name w:val="Bordered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4">
    <w:name w:val="Bordered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5">
    <w:name w:val="Bordered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6">
    <w:name w:val="Footnote Text Char"/>
    <w:link w:val="934"/>
    <w:uiPriority w:val="99"/>
    <w:rPr>
      <w:sz w:val="18"/>
    </w:rPr>
  </w:style>
  <w:style w:type="paragraph" w:styleId="897">
    <w:name w:val="endnote text"/>
    <w:basedOn w:val="90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paragraph" w:styleId="899">
    <w:name w:val="TOC Heading"/>
    <w:uiPriority w:val="39"/>
    <w:unhideWhenUsed/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  <w:pPr>
      <w:jc w:val="left"/>
      <w:spacing w:before="120" w:after="0"/>
      <w:widowControl/>
    </w:pPr>
    <w:rPr>
      <w:rFonts w:ascii="Times New Roman" w:hAnsi="Times New Roman" w:eastAsia="Calibri" w:eastAsiaTheme="minorHAnsi" w:cstheme="minorBidi"/>
      <w:color w:val="auto"/>
      <w:sz w:val="26"/>
      <w:szCs w:val="22"/>
      <w:lang w:val="ru-RU" w:eastAsia="en-US" w:bidi="ar-SA"/>
    </w:rPr>
  </w:style>
  <w:style w:type="character" w:styleId="902" w:default="1">
    <w:name w:val="Default Paragraph Font"/>
    <w:uiPriority w:val="1"/>
    <w:semiHidden/>
    <w:unhideWhenUsed/>
    <w:qFormat/>
  </w:style>
  <w:style w:type="character" w:styleId="903" w:customStyle="1">
    <w:name w:val="Верхний колонтитул Знак"/>
    <w:basedOn w:val="902"/>
    <w:uiPriority w:val="99"/>
    <w:qFormat/>
  </w:style>
  <w:style w:type="character" w:styleId="904" w:customStyle="1">
    <w:name w:val="Нижний колонтитул Знак"/>
    <w:basedOn w:val="902"/>
    <w:uiPriority w:val="99"/>
    <w:qFormat/>
  </w:style>
  <w:style w:type="character" w:styleId="905" w:customStyle="1">
    <w:name w:val="[РГ] Инструкция"/>
    <w:basedOn w:val="902"/>
    <w:uiPriority w:val="1"/>
    <w:qFormat/>
    <w:rPr>
      <w:i/>
      <w:iCs/>
      <w:shd w:val="clear" w:color="auto" w:fill="ffff99"/>
      <w:lang w:val="ru-RU"/>
    </w:rPr>
  </w:style>
  <w:style w:type="character" w:styleId="906" w:customStyle="1">
    <w:name w:val="Текст сноски Знак"/>
    <w:basedOn w:val="902"/>
    <w:uiPriority w:val="99"/>
    <w:semiHidden/>
    <w:qFormat/>
    <w:rPr>
      <w:sz w:val="20"/>
      <w:szCs w:val="20"/>
    </w:rPr>
  </w:style>
  <w:style w:type="character" w:styleId="907">
    <w:name w:val="Символ сноски"/>
    <w:basedOn w:val="902"/>
    <w:uiPriority w:val="99"/>
    <w:semiHidden/>
    <w:unhideWhenUsed/>
    <w:qFormat/>
    <w:rPr>
      <w:vertAlign w:val="superscript"/>
    </w:rPr>
  </w:style>
  <w:style w:type="character" w:styleId="908">
    <w:name w:val="footnote reference"/>
    <w:rPr>
      <w:vertAlign w:val="superscript"/>
    </w:rPr>
  </w:style>
  <w:style w:type="character" w:styleId="909">
    <w:name w:val="Hyperlink"/>
    <w:basedOn w:val="902"/>
    <w:uiPriority w:val="99"/>
    <w:unhideWhenUsed/>
    <w:rPr>
      <w:color w:val="0563c1" w:themeColor="hyperlink"/>
      <w:u w:val="single"/>
    </w:rPr>
  </w:style>
  <w:style w:type="character" w:styleId="910">
    <w:name w:val="Unresolved Mention"/>
    <w:basedOn w:val="902"/>
    <w:uiPriority w:val="99"/>
    <w:semiHidden/>
    <w:unhideWhenUsed/>
    <w:qFormat/>
    <w:rPr>
      <w:color w:val="605e5c"/>
      <w:shd w:val="clear" w:color="auto" w:fill="e1dfdd"/>
    </w:rPr>
  </w:style>
  <w:style w:type="character" w:styleId="911" w:customStyle="1">
    <w:name w:val="[РГ] Альтернатива / дополнение"/>
    <w:basedOn w:val="902"/>
    <w:uiPriority w:val="1"/>
    <w:qFormat/>
    <w:rPr>
      <w:i/>
      <w:iCs/>
      <w:shd w:val="clear" w:color="auto" w:fill="99ccff"/>
      <w:lang w:val="ru-RU"/>
    </w:rPr>
  </w:style>
  <w:style w:type="character" w:styleId="912">
    <w:name w:val="Placeholder Text"/>
    <w:basedOn w:val="902"/>
    <w:uiPriority w:val="99"/>
    <w:semiHidden/>
    <w:qFormat/>
    <w:rPr>
      <w:color w:val="808080"/>
    </w:rPr>
  </w:style>
  <w:style w:type="character" w:styleId="913" w:customStyle="1">
    <w:name w:val="[РГ] Отсылка"/>
    <w:basedOn w:val="902"/>
    <w:uiPriority w:val="1"/>
    <w:qFormat/>
    <w:rPr>
      <w:spacing w:val="30"/>
      <w:u w:val="single"/>
      <w:shd w:val="clear" w:color="auto" w:fill="e7e6e6"/>
      <w:lang w:val="ru-RU"/>
    </w:rPr>
  </w:style>
  <w:style w:type="character" w:styleId="914">
    <w:name w:val="annotation reference"/>
    <w:basedOn w:val="902"/>
    <w:uiPriority w:val="99"/>
    <w:semiHidden/>
    <w:unhideWhenUsed/>
    <w:qFormat/>
    <w:rPr>
      <w:sz w:val="16"/>
      <w:szCs w:val="16"/>
    </w:rPr>
  </w:style>
  <w:style w:type="character" w:styleId="915" w:customStyle="1">
    <w:name w:val="Текст примечания Знак"/>
    <w:basedOn w:val="902"/>
    <w:link w:val="945"/>
    <w:uiPriority w:val="99"/>
    <w:semiHidden/>
    <w:qFormat/>
    <w:rPr>
      <w:sz w:val="20"/>
      <w:szCs w:val="20"/>
    </w:rPr>
  </w:style>
  <w:style w:type="character" w:styleId="916" w:customStyle="1">
    <w:name w:val="Тема примечания Знак"/>
    <w:basedOn w:val="915"/>
    <w:link w:val="946"/>
    <w:uiPriority w:val="99"/>
    <w:semiHidden/>
    <w:qFormat/>
    <w:rPr>
      <w:b/>
      <w:bCs/>
      <w:sz w:val="20"/>
      <w:szCs w:val="20"/>
    </w:rPr>
  </w:style>
  <w:style w:type="character" w:styleId="917">
    <w:name w:val="endnote reference"/>
    <w:rPr>
      <w:vertAlign w:val="superscript"/>
    </w:rPr>
  </w:style>
  <w:style w:type="character" w:styleId="918">
    <w:name w:val="Символ концевой сноски"/>
    <w:qFormat/>
  </w:style>
  <w:style w:type="paragraph" w:styleId="919">
    <w:name w:val="Заголовок"/>
    <w:basedOn w:val="901"/>
    <w:next w:val="920"/>
    <w:qFormat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920">
    <w:name w:val="Body Text"/>
    <w:basedOn w:val="901"/>
    <w:pPr>
      <w:spacing w:before="0" w:after="140" w:line="276" w:lineRule="auto"/>
    </w:pPr>
  </w:style>
  <w:style w:type="paragraph" w:styleId="921">
    <w:name w:val="List"/>
    <w:basedOn w:val="920"/>
    <w:rPr>
      <w:rFonts w:cs="Lohit Devanagari"/>
    </w:rPr>
  </w:style>
  <w:style w:type="paragraph" w:styleId="922">
    <w:name w:val="Caption"/>
    <w:basedOn w:val="901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923">
    <w:name w:val="Указатель"/>
    <w:basedOn w:val="901"/>
    <w:qFormat/>
    <w:pPr>
      <w:suppressLineNumbers/>
    </w:pPr>
    <w:rPr>
      <w:rFonts w:cs="Lohit Devanagari"/>
    </w:rPr>
  </w:style>
  <w:style w:type="paragraph" w:styleId="924" w:customStyle="1">
    <w:name w:val="[РГ] Раздел"/>
    <w:basedOn w:val="901"/>
    <w:next w:val="925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925" w:customStyle="1">
    <w:name w:val="[РГ] Подраздел"/>
    <w:basedOn w:val="901"/>
    <w:next w:val="926"/>
    <w:qFormat/>
    <w:pPr>
      <w:numPr>
        <w:ilvl w:val="1"/>
        <w:numId w:val="1"/>
      </w:numPr>
      <w:jc w:val="both"/>
      <w:keepNext/>
      <w:spacing w:before="360" w:after="0"/>
      <w:outlineLvl w:val="1"/>
    </w:pPr>
    <w:rPr>
      <w:b/>
      <w:bCs/>
    </w:rPr>
  </w:style>
  <w:style w:type="paragraph" w:styleId="926" w:customStyle="1">
    <w:name w:val="[РГ] Пункт"/>
    <w:basedOn w:val="901"/>
    <w:qFormat/>
    <w:pPr>
      <w:numPr>
        <w:ilvl w:val="2"/>
        <w:numId w:val="1"/>
      </w:numPr>
      <w:jc w:val="both"/>
      <w:outlineLvl w:val="2"/>
    </w:pPr>
  </w:style>
  <w:style w:type="paragraph" w:styleId="927" w:customStyle="1">
    <w:name w:val="[РГ] Подпункт"/>
    <w:basedOn w:val="901"/>
    <w:qFormat/>
    <w:pPr>
      <w:numPr>
        <w:ilvl w:val="3"/>
        <w:numId w:val="1"/>
      </w:numPr>
      <w:jc w:val="both"/>
      <w:outlineLvl w:val="3"/>
    </w:pPr>
  </w:style>
  <w:style w:type="paragraph" w:styleId="928" w:customStyle="1">
    <w:name w:val="[РГ] Перечисление"/>
    <w:basedOn w:val="901"/>
    <w:qFormat/>
    <w:pPr>
      <w:numPr>
        <w:ilvl w:val="4"/>
        <w:numId w:val="1"/>
      </w:numPr>
      <w:jc w:val="both"/>
      <w:outlineLvl w:val="4"/>
    </w:pPr>
  </w:style>
  <w:style w:type="paragraph" w:styleId="929" w:customStyle="1">
    <w:name w:val="[РГ] Заголовок"/>
    <w:basedOn w:val="901"/>
    <w:next w:val="930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930" w:customStyle="1">
    <w:name w:val="[РГ] Текст"/>
    <w:basedOn w:val="901"/>
    <w:qFormat/>
    <w:pPr>
      <w:jc w:val="both"/>
    </w:pPr>
  </w:style>
  <w:style w:type="paragraph" w:styleId="931">
    <w:name w:val="Колонтитул"/>
    <w:basedOn w:val="901"/>
    <w:qFormat/>
  </w:style>
  <w:style w:type="paragraph" w:styleId="932">
    <w:name w:val="Header"/>
    <w:basedOn w:val="901"/>
    <w:link w:val="903"/>
    <w:uiPriority w:val="99"/>
    <w:unhideWhenUsed/>
    <w:pPr>
      <w:jc w:val="center"/>
      <w:spacing w:before="0" w:after="120"/>
    </w:pPr>
  </w:style>
  <w:style w:type="paragraph" w:styleId="933">
    <w:name w:val="Footer"/>
    <w:basedOn w:val="901"/>
    <w:link w:val="904"/>
    <w:uiPriority w:val="99"/>
    <w:unhideWhenUsed/>
    <w:pPr>
      <w:jc w:val="right"/>
    </w:pPr>
  </w:style>
  <w:style w:type="paragraph" w:styleId="934">
    <w:name w:val="footnote text"/>
    <w:basedOn w:val="901"/>
    <w:link w:val="906"/>
    <w:uiPriority w:val="99"/>
    <w:semiHidden/>
    <w:unhideWhenUsed/>
    <w:pPr>
      <w:spacing w:before="0" w:after="0"/>
    </w:pPr>
    <w:rPr>
      <w:sz w:val="20"/>
      <w:szCs w:val="20"/>
    </w:rPr>
  </w:style>
  <w:style w:type="paragraph" w:styleId="935" w:customStyle="1">
    <w:name w:val="[РГ] Сноска"/>
    <w:basedOn w:val="934"/>
    <w:qFormat/>
    <w:pPr>
      <w:ind w:left="567" w:hanging="567"/>
      <w:jc w:val="both"/>
      <w:spacing w:before="80" w:after="0"/>
    </w:pPr>
    <w:rPr>
      <w:sz w:val="22"/>
    </w:rPr>
  </w:style>
  <w:style w:type="paragraph" w:styleId="936">
    <w:name w:val="toc 2"/>
    <w:basedOn w:val="901"/>
    <w:next w:val="901"/>
    <w:uiPriority w:val="39"/>
    <w:unhideWhenUsed/>
    <w:pPr>
      <w:ind w:left="851" w:hanging="851"/>
      <w:spacing w:before="120" w:after="120"/>
      <w:tabs>
        <w:tab w:val="clear" w:pos="708" w:leader="none"/>
        <w:tab w:val="left" w:pos="851" w:leader="none"/>
        <w:tab w:val="right" w:pos="9923" w:leader="none"/>
      </w:tabs>
    </w:pPr>
  </w:style>
  <w:style w:type="paragraph" w:styleId="937">
    <w:name w:val="toc 1"/>
    <w:basedOn w:val="901"/>
    <w:next w:val="901"/>
    <w:uiPriority w:val="39"/>
    <w:unhideWhenUsed/>
    <w:pPr>
      <w:ind w:left="851" w:hanging="851"/>
      <w:keepNext/>
      <w:spacing w:before="120" w:after="120"/>
      <w:tabs>
        <w:tab w:val="clear" w:pos="708" w:leader="none"/>
        <w:tab w:val="left" w:pos="851" w:leader="none"/>
        <w:tab w:val="right" w:pos="9923" w:leader="none"/>
      </w:tabs>
    </w:pPr>
    <w:rPr>
      <w:b/>
      <w:caps/>
    </w:rPr>
  </w:style>
  <w:style w:type="paragraph" w:styleId="938">
    <w:name w:val="toc 3"/>
    <w:basedOn w:val="901"/>
    <w:next w:val="901"/>
    <w:uiPriority w:val="39"/>
    <w:unhideWhenUsed/>
    <w:pPr>
      <w:ind w:left="44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939">
    <w:name w:val="toc 4"/>
    <w:basedOn w:val="901"/>
    <w:next w:val="901"/>
    <w:uiPriority w:val="39"/>
    <w:unhideWhenUsed/>
    <w:pPr>
      <w:ind w:left="66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940">
    <w:name w:val="toc 5"/>
    <w:basedOn w:val="901"/>
    <w:next w:val="901"/>
    <w:uiPriority w:val="39"/>
    <w:unhideWhenUsed/>
    <w:pPr>
      <w:ind w:left="88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941">
    <w:name w:val="toc 6"/>
    <w:basedOn w:val="901"/>
    <w:next w:val="901"/>
    <w:uiPriority w:val="39"/>
    <w:unhideWhenUsed/>
    <w:pPr>
      <w:ind w:left="110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942">
    <w:name w:val="toc 7"/>
    <w:basedOn w:val="901"/>
    <w:next w:val="901"/>
    <w:uiPriority w:val="39"/>
    <w:unhideWhenUsed/>
    <w:pPr>
      <w:ind w:left="132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943">
    <w:name w:val="toc 8"/>
    <w:basedOn w:val="901"/>
    <w:next w:val="901"/>
    <w:uiPriority w:val="39"/>
    <w:unhideWhenUsed/>
    <w:pPr>
      <w:ind w:left="154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944">
    <w:name w:val="toc 9"/>
    <w:basedOn w:val="901"/>
    <w:next w:val="901"/>
    <w:uiPriority w:val="39"/>
    <w:unhideWhenUsed/>
    <w:pPr>
      <w:ind w:left="176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945">
    <w:name w:val="annotation text"/>
    <w:basedOn w:val="901"/>
    <w:link w:val="915"/>
    <w:uiPriority w:val="99"/>
    <w:semiHidden/>
    <w:unhideWhenUsed/>
    <w:qFormat/>
    <w:rPr>
      <w:sz w:val="20"/>
      <w:szCs w:val="20"/>
    </w:rPr>
  </w:style>
  <w:style w:type="paragraph" w:styleId="946">
    <w:name w:val="annotation subject"/>
    <w:basedOn w:val="945"/>
    <w:next w:val="945"/>
    <w:link w:val="916"/>
    <w:uiPriority w:val="99"/>
    <w:semiHidden/>
    <w:unhideWhenUsed/>
    <w:qFormat/>
    <w:rPr>
      <w:b/>
      <w:bCs/>
    </w:rPr>
  </w:style>
  <w:style w:type="numbering" w:styleId="947" w:default="1">
    <w:name w:val="No List"/>
    <w:uiPriority w:val="99"/>
    <w:semiHidden/>
    <w:unhideWhenUsed/>
    <w:qFormat/>
  </w:style>
  <w:style w:type="table" w:styleId="94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49" w:customStyle="1">
    <w:name w:val="[РГ] Таблица"/>
    <w:basedOn w:val="948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</w:pPr>
    </w:tblStylePr>
  </w:style>
  <w:style w:type="table" w:styleId="950">
    <w:name w:val="Table Grid"/>
    <w:basedOn w:val="948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59FF-D2FA-4001-8B31-55B5236C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ПАО РусГидро; ИнКонТех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цепочке собственников с приложениями</dc:title>
  <dc:subject>Альбом типовых форм</dc:subject>
  <dc:creator/>
  <cp:keywords>Типовая форма</cp:keywords>
  <dc:description/>
  <dc:language>ru-RU</dc:language>
  <cp:lastModifiedBy>banschikova-iv</cp:lastModifiedBy>
  <cp:revision>5</cp:revision>
  <dcterms:created xsi:type="dcterms:W3CDTF">2025-02-06T09:36:49Z</dcterms:created>
  <dcterms:modified xsi:type="dcterms:W3CDTF">2025-02-12T02:13:14Z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